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C75B9" w14:textId="081530BD" w:rsidR="007A6FE3" w:rsidRDefault="007A6FE3" w:rsidP="003811BE">
      <w:pPr>
        <w:rPr>
          <w:b/>
          <w:bCs/>
          <w:color w:val="000000" w:themeColor="text1"/>
          <w:szCs w:val="22"/>
        </w:rPr>
      </w:pPr>
      <w:r w:rsidRPr="001E43C0">
        <w:rPr>
          <w:noProof/>
        </w:rPr>
        <w:drawing>
          <wp:inline distT="0" distB="0" distL="0" distR="0" wp14:anchorId="2FFB7503" wp14:editId="5CC4D053">
            <wp:extent cx="1657350" cy="1098401"/>
            <wp:effectExtent l="0" t="0" r="0" b="6985"/>
            <wp:docPr id="1673391387"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91387" name="Picture 1" descr="A logo with text on it&#10;&#10;AI-generated content may be incorrect."/>
                    <pic:cNvPicPr/>
                  </pic:nvPicPr>
                  <pic:blipFill>
                    <a:blip r:embed="rId8"/>
                    <a:stretch>
                      <a:fillRect/>
                    </a:stretch>
                  </pic:blipFill>
                  <pic:spPr>
                    <a:xfrm>
                      <a:off x="0" y="0"/>
                      <a:ext cx="1673605" cy="1109174"/>
                    </a:xfrm>
                    <a:prstGeom prst="rect">
                      <a:avLst/>
                    </a:prstGeom>
                  </pic:spPr>
                </pic:pic>
              </a:graphicData>
            </a:graphic>
          </wp:inline>
        </w:drawing>
      </w:r>
    </w:p>
    <w:p w14:paraId="664909E4" w14:textId="77777777" w:rsidR="007A6FE3" w:rsidRDefault="007A6FE3" w:rsidP="003811BE">
      <w:pPr>
        <w:rPr>
          <w:b/>
          <w:bCs/>
          <w:color w:val="000000" w:themeColor="text1"/>
          <w:szCs w:val="22"/>
        </w:rPr>
      </w:pPr>
    </w:p>
    <w:p w14:paraId="3DD11012" w14:textId="77777777" w:rsidR="007A6FE3" w:rsidRPr="007A6FE3" w:rsidRDefault="00C84F8C" w:rsidP="007A6FE3">
      <w:pPr>
        <w:spacing w:after="160" w:line="259" w:lineRule="auto"/>
        <w:contextualSpacing/>
        <w:rPr>
          <w:rFonts w:asciiTheme="minorHAnsi" w:hAnsiTheme="minorHAnsi"/>
          <w:b/>
          <w:bCs/>
          <w:szCs w:val="22"/>
        </w:rPr>
      </w:pPr>
      <w:r w:rsidRPr="007A6FE3">
        <w:rPr>
          <w:rFonts w:asciiTheme="minorHAnsi" w:hAnsiTheme="minorHAnsi"/>
          <w:b/>
          <w:bCs/>
          <w:szCs w:val="22"/>
        </w:rPr>
        <w:t>FOR IMMEDIATE RELEASE</w:t>
      </w:r>
    </w:p>
    <w:p w14:paraId="247FE299" w14:textId="365C0F00" w:rsidR="009E199B" w:rsidRPr="007A6FE3" w:rsidRDefault="007A6FE3" w:rsidP="007A6FE3">
      <w:pPr>
        <w:spacing w:after="160" w:line="259" w:lineRule="auto"/>
        <w:contextualSpacing/>
        <w:rPr>
          <w:rFonts w:eastAsia="Times New Roman" w:cs="Times New Roman"/>
          <w:b/>
          <w:bCs/>
          <w:color w:val="000000" w:themeColor="text1"/>
          <w:kern w:val="0"/>
          <w:szCs w:val="22"/>
          <w14:ligatures w14:val="none"/>
        </w:rPr>
      </w:pPr>
      <w:r w:rsidRPr="007A6FE3">
        <w:rPr>
          <w:rFonts w:asciiTheme="minorHAnsi" w:hAnsiTheme="minorHAnsi"/>
          <w:b/>
          <w:bCs/>
          <w:szCs w:val="22"/>
        </w:rPr>
        <w:t xml:space="preserve">October 1, 2026  </w:t>
      </w:r>
      <w:r w:rsidR="00C84F8C" w:rsidRPr="007A6FE3">
        <w:rPr>
          <w:b/>
          <w:bCs/>
          <w:color w:val="000000" w:themeColor="text1"/>
          <w:szCs w:val="22"/>
        </w:rPr>
        <w:br/>
      </w:r>
    </w:p>
    <w:p w14:paraId="2ABE37CC" w14:textId="1257D8F7" w:rsidR="007D1DD8" w:rsidRPr="00F11276" w:rsidRDefault="00E5104A" w:rsidP="00B401CE">
      <w:pPr>
        <w:spacing w:after="160"/>
        <w:jc w:val="center"/>
        <w:rPr>
          <w:rFonts w:asciiTheme="minorHAnsi" w:hAnsiTheme="minorHAnsi"/>
          <w:b/>
          <w:bCs/>
          <w:caps/>
          <w:sz w:val="28"/>
          <w:szCs w:val="28"/>
        </w:rPr>
      </w:pPr>
      <w:r w:rsidRPr="00F11276">
        <w:rPr>
          <w:rFonts w:asciiTheme="minorHAnsi" w:hAnsiTheme="minorHAnsi"/>
          <w:b/>
          <w:bCs/>
          <w:caps/>
          <w:sz w:val="28"/>
          <w:szCs w:val="28"/>
        </w:rPr>
        <w:t>Gibsland Ban</w:t>
      </w:r>
      <w:r w:rsidR="00541084">
        <w:rPr>
          <w:rFonts w:asciiTheme="minorHAnsi" w:hAnsiTheme="minorHAnsi"/>
          <w:b/>
          <w:bCs/>
          <w:caps/>
          <w:sz w:val="28"/>
          <w:szCs w:val="28"/>
        </w:rPr>
        <w:t>CSHARES, INC.</w:t>
      </w:r>
      <w:r w:rsidR="00C84F8C" w:rsidRPr="00F11276">
        <w:rPr>
          <w:rFonts w:asciiTheme="minorHAnsi" w:hAnsiTheme="minorHAnsi"/>
          <w:b/>
          <w:bCs/>
          <w:caps/>
          <w:sz w:val="28"/>
          <w:szCs w:val="28"/>
        </w:rPr>
        <w:t xml:space="preserve"> </w:t>
      </w:r>
      <w:r w:rsidR="00AF316C" w:rsidRPr="00F11276">
        <w:rPr>
          <w:rFonts w:asciiTheme="minorHAnsi" w:hAnsiTheme="minorHAnsi"/>
          <w:b/>
          <w:bCs/>
          <w:caps/>
          <w:sz w:val="28"/>
          <w:szCs w:val="28"/>
        </w:rPr>
        <w:t>Complet</w:t>
      </w:r>
      <w:r w:rsidR="00C84F8C" w:rsidRPr="00F11276">
        <w:rPr>
          <w:rFonts w:asciiTheme="minorHAnsi" w:hAnsiTheme="minorHAnsi"/>
          <w:b/>
          <w:bCs/>
          <w:caps/>
          <w:sz w:val="28"/>
          <w:szCs w:val="28"/>
        </w:rPr>
        <w:t xml:space="preserve">es </w:t>
      </w:r>
      <w:r w:rsidR="00F11276">
        <w:rPr>
          <w:rFonts w:asciiTheme="minorHAnsi" w:hAnsiTheme="minorHAnsi"/>
          <w:b/>
          <w:bCs/>
          <w:caps/>
          <w:sz w:val="28"/>
          <w:szCs w:val="28"/>
        </w:rPr>
        <w:t>ITS ACQUISITION OF MARION STATE BANK</w:t>
      </w:r>
    </w:p>
    <w:p w14:paraId="5E6F5231" w14:textId="031DE3BE" w:rsidR="007D1DD8" w:rsidRPr="00B401CE" w:rsidRDefault="009E1BEE" w:rsidP="00B401CE">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b/>
          <w:bCs/>
          <w:color w:val="000000" w:themeColor="text1"/>
          <w:kern w:val="0"/>
          <w:szCs w:val="22"/>
          <w14:ligatures w14:val="none"/>
        </w:rPr>
        <w:t>Gibsland, Louisiana</w:t>
      </w:r>
      <w:r w:rsidR="00F11276" w:rsidRPr="00B401CE">
        <w:rPr>
          <w:rFonts w:asciiTheme="minorHAnsi" w:eastAsia="Times New Roman" w:hAnsiTheme="minorHAnsi" w:cs="Times New Roman"/>
          <w:b/>
          <w:bCs/>
          <w:color w:val="000000" w:themeColor="text1"/>
          <w:kern w:val="0"/>
          <w:szCs w:val="22"/>
          <w14:ligatures w14:val="none"/>
        </w:rPr>
        <w:t>, October 1, 2026</w:t>
      </w:r>
      <w:r w:rsidR="00F11276" w:rsidRPr="00B401CE">
        <w:rPr>
          <w:rFonts w:asciiTheme="minorHAnsi" w:eastAsia="Times New Roman" w:hAnsiTheme="minorHAnsi" w:cs="Times New Roman"/>
          <w:color w:val="000000" w:themeColor="text1"/>
          <w:kern w:val="0"/>
          <w:szCs w:val="22"/>
          <w14:ligatures w14:val="none"/>
        </w:rPr>
        <w:t xml:space="preserve"> </w:t>
      </w:r>
      <w:r w:rsidR="00574091">
        <w:rPr>
          <w:rFonts w:asciiTheme="minorHAnsi" w:eastAsia="Times New Roman" w:hAnsiTheme="minorHAnsi" w:cs="Times New Roman"/>
          <w:color w:val="000000" w:themeColor="text1"/>
          <w:kern w:val="0"/>
          <w:szCs w:val="22"/>
          <w14:ligatures w14:val="none"/>
        </w:rPr>
        <w:t xml:space="preserve">- </w:t>
      </w:r>
      <w:r w:rsidRPr="00B401CE">
        <w:rPr>
          <w:rFonts w:asciiTheme="minorHAnsi" w:eastAsia="Times New Roman" w:hAnsiTheme="minorHAnsi" w:cs="Times New Roman"/>
          <w:color w:val="000000" w:themeColor="text1"/>
          <w:kern w:val="0"/>
          <w:szCs w:val="22"/>
          <w14:ligatures w14:val="none"/>
        </w:rPr>
        <w:t>Gibsland Bancshares, Inc.</w:t>
      </w:r>
      <w:r w:rsidR="00AF316C" w:rsidRPr="00B401CE">
        <w:rPr>
          <w:rFonts w:asciiTheme="minorHAnsi" w:eastAsia="Times New Roman" w:hAnsiTheme="minorHAnsi" w:cs="Times New Roman"/>
          <w:color w:val="000000" w:themeColor="text1"/>
          <w:kern w:val="0"/>
          <w:szCs w:val="22"/>
          <w14:ligatures w14:val="none"/>
        </w:rPr>
        <w:t xml:space="preserve"> </w:t>
      </w:r>
      <w:r w:rsidR="00707A77" w:rsidRPr="00B401CE">
        <w:rPr>
          <w:rFonts w:asciiTheme="minorHAnsi" w:eastAsia="Times New Roman" w:hAnsiTheme="minorHAnsi" w:cs="Times New Roman"/>
          <w:color w:val="000000" w:themeColor="text1"/>
          <w:kern w:val="0"/>
          <w:szCs w:val="22"/>
          <w14:ligatures w14:val="none"/>
        </w:rPr>
        <w:t xml:space="preserve">(“Gibsland Bancshares”) </w:t>
      </w:r>
      <w:r w:rsidR="00FB69FF" w:rsidRPr="00B401CE">
        <w:rPr>
          <w:rFonts w:asciiTheme="minorHAnsi" w:eastAsia="Times New Roman" w:hAnsiTheme="minorHAnsi" w:cs="Times New Roman"/>
          <w:color w:val="000000" w:themeColor="text1"/>
          <w:kern w:val="0"/>
          <w:szCs w:val="22"/>
          <w14:ligatures w14:val="none"/>
        </w:rPr>
        <w:t xml:space="preserve">and its wholly-owned banking subsidiary </w:t>
      </w:r>
      <w:r w:rsidRPr="00B401CE">
        <w:rPr>
          <w:rFonts w:asciiTheme="minorHAnsi" w:eastAsia="Times New Roman" w:hAnsiTheme="minorHAnsi" w:cs="Times New Roman"/>
          <w:color w:val="000000" w:themeColor="text1"/>
          <w:kern w:val="0"/>
          <w:szCs w:val="22"/>
          <w14:ligatures w14:val="none"/>
        </w:rPr>
        <w:t>Gibsland Bank &amp; Trust Company</w:t>
      </w:r>
      <w:r w:rsidR="00707A77" w:rsidRPr="00B401CE">
        <w:rPr>
          <w:rFonts w:asciiTheme="minorHAnsi" w:eastAsia="Times New Roman" w:hAnsiTheme="minorHAnsi" w:cs="Times New Roman"/>
          <w:color w:val="000000" w:themeColor="text1"/>
          <w:kern w:val="0"/>
          <w:szCs w:val="22"/>
          <w14:ligatures w14:val="none"/>
        </w:rPr>
        <w:t xml:space="preserve"> (“Gibsland Bank”)</w:t>
      </w:r>
      <w:r w:rsidR="00AF316C" w:rsidRPr="00B401CE">
        <w:rPr>
          <w:rFonts w:asciiTheme="minorHAnsi" w:eastAsia="Times New Roman" w:hAnsiTheme="minorHAnsi" w:cs="Times New Roman"/>
          <w:color w:val="000000" w:themeColor="text1"/>
          <w:kern w:val="0"/>
          <w:szCs w:val="22"/>
          <w14:ligatures w14:val="none"/>
        </w:rPr>
        <w:t xml:space="preserve"> today announced the successful completion of its </w:t>
      </w:r>
      <w:r w:rsidR="00FB69FF" w:rsidRPr="00B401CE">
        <w:rPr>
          <w:rFonts w:asciiTheme="minorHAnsi" w:eastAsia="Times New Roman" w:hAnsiTheme="minorHAnsi" w:cs="Times New Roman"/>
          <w:color w:val="000000" w:themeColor="text1"/>
          <w:kern w:val="0"/>
          <w:szCs w:val="22"/>
          <w14:ligatures w14:val="none"/>
        </w:rPr>
        <w:t xml:space="preserve">acquisition of </w:t>
      </w:r>
      <w:r w:rsidRPr="00B401CE">
        <w:rPr>
          <w:rFonts w:asciiTheme="minorHAnsi" w:eastAsia="Times New Roman" w:hAnsiTheme="minorHAnsi" w:cs="Times New Roman"/>
          <w:color w:val="000000" w:themeColor="text1"/>
          <w:kern w:val="0"/>
          <w:szCs w:val="22"/>
          <w14:ligatures w14:val="none"/>
        </w:rPr>
        <w:t>Nor</w:t>
      </w:r>
      <w:r w:rsidR="00C6106A" w:rsidRPr="00B401CE">
        <w:rPr>
          <w:rFonts w:asciiTheme="minorHAnsi" w:eastAsia="Times New Roman" w:hAnsiTheme="minorHAnsi" w:cs="Times New Roman"/>
          <w:color w:val="000000" w:themeColor="text1"/>
          <w:kern w:val="0"/>
          <w:szCs w:val="22"/>
          <w14:ligatures w14:val="none"/>
        </w:rPr>
        <w:t>thern</w:t>
      </w:r>
      <w:r w:rsidRPr="00B401CE">
        <w:rPr>
          <w:rFonts w:asciiTheme="minorHAnsi" w:eastAsia="Times New Roman" w:hAnsiTheme="minorHAnsi" w:cs="Times New Roman"/>
          <w:color w:val="000000" w:themeColor="text1"/>
          <w:kern w:val="0"/>
          <w:szCs w:val="22"/>
          <w14:ligatures w14:val="none"/>
        </w:rPr>
        <w:t xml:space="preserve"> Louisiana-based</w:t>
      </w:r>
      <w:r w:rsidR="009E199B" w:rsidRPr="00B401CE">
        <w:rPr>
          <w:rFonts w:asciiTheme="minorHAnsi" w:eastAsia="Times New Roman" w:hAnsiTheme="minorHAnsi" w:cs="Times New Roman"/>
          <w:color w:val="000000" w:themeColor="text1"/>
          <w:kern w:val="0"/>
          <w:szCs w:val="22"/>
          <w14:ligatures w14:val="none"/>
        </w:rPr>
        <w:t xml:space="preserve"> </w:t>
      </w:r>
      <w:r w:rsidRPr="00B401CE">
        <w:rPr>
          <w:rFonts w:asciiTheme="minorHAnsi" w:eastAsia="Times New Roman" w:hAnsiTheme="minorHAnsi" w:cs="Times New Roman"/>
          <w:color w:val="000000" w:themeColor="text1"/>
          <w:kern w:val="0"/>
          <w:szCs w:val="22"/>
          <w14:ligatures w14:val="none"/>
        </w:rPr>
        <w:t>Marion State Bank,</w:t>
      </w:r>
      <w:r w:rsidR="00AF316C" w:rsidRPr="00B401CE">
        <w:rPr>
          <w:rFonts w:asciiTheme="minorHAnsi" w:eastAsia="Times New Roman" w:hAnsiTheme="minorHAnsi" w:cs="Times New Roman"/>
          <w:color w:val="000000" w:themeColor="text1"/>
          <w:kern w:val="0"/>
          <w:szCs w:val="22"/>
          <w14:ligatures w14:val="none"/>
        </w:rPr>
        <w:t xml:space="preserve"> effective </w:t>
      </w:r>
      <w:r w:rsidRPr="00B401CE">
        <w:rPr>
          <w:rFonts w:asciiTheme="minorHAnsi" w:eastAsia="Times New Roman" w:hAnsiTheme="minorHAnsi" w:cs="Times New Roman"/>
          <w:color w:val="000000" w:themeColor="text1"/>
          <w:kern w:val="0"/>
          <w:szCs w:val="22"/>
          <w14:ligatures w14:val="none"/>
        </w:rPr>
        <w:t>October</w:t>
      </w:r>
      <w:r w:rsidR="00AF316C" w:rsidRPr="00B401CE">
        <w:rPr>
          <w:rFonts w:asciiTheme="minorHAnsi" w:eastAsia="Times New Roman" w:hAnsiTheme="minorHAnsi" w:cs="Times New Roman"/>
          <w:color w:val="000000" w:themeColor="text1"/>
          <w:kern w:val="0"/>
          <w:szCs w:val="22"/>
          <w14:ligatures w14:val="none"/>
        </w:rPr>
        <w:t xml:space="preserve"> 1, 202</w:t>
      </w:r>
      <w:r w:rsidR="00C91748" w:rsidRPr="00B401CE">
        <w:rPr>
          <w:rFonts w:asciiTheme="minorHAnsi" w:eastAsia="Times New Roman" w:hAnsiTheme="minorHAnsi" w:cs="Times New Roman"/>
          <w:color w:val="000000" w:themeColor="text1"/>
          <w:kern w:val="0"/>
          <w:szCs w:val="22"/>
          <w14:ligatures w14:val="none"/>
        </w:rPr>
        <w:t>6</w:t>
      </w:r>
      <w:r w:rsidR="00AF316C" w:rsidRPr="00B401CE">
        <w:rPr>
          <w:rFonts w:asciiTheme="minorHAnsi" w:eastAsia="Times New Roman" w:hAnsiTheme="minorHAnsi" w:cs="Times New Roman"/>
          <w:color w:val="000000" w:themeColor="text1"/>
          <w:kern w:val="0"/>
          <w:szCs w:val="22"/>
          <w14:ligatures w14:val="none"/>
        </w:rPr>
        <w:t>.</w:t>
      </w:r>
    </w:p>
    <w:p w14:paraId="5FE49439" w14:textId="1712BFF6" w:rsidR="001B0923" w:rsidRPr="00B401CE" w:rsidRDefault="00C84F8C" w:rsidP="00B401CE">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The merger combines two historic financial institutions with complementary customer base</w:t>
      </w:r>
      <w:r w:rsidR="00877CF5" w:rsidRPr="00B401CE">
        <w:rPr>
          <w:rFonts w:asciiTheme="minorHAnsi" w:eastAsia="Times New Roman" w:hAnsiTheme="minorHAnsi" w:cs="Times New Roman"/>
          <w:color w:val="000000" w:themeColor="text1"/>
          <w:kern w:val="0"/>
          <w:szCs w:val="22"/>
          <w14:ligatures w14:val="none"/>
        </w:rPr>
        <w:t>s</w:t>
      </w:r>
      <w:r w:rsidRPr="00B401CE">
        <w:rPr>
          <w:rFonts w:asciiTheme="minorHAnsi" w:eastAsia="Times New Roman" w:hAnsiTheme="minorHAnsi" w:cs="Times New Roman"/>
          <w:color w:val="000000" w:themeColor="text1"/>
          <w:kern w:val="0"/>
          <w:szCs w:val="22"/>
          <w14:ligatures w14:val="none"/>
        </w:rPr>
        <w:t xml:space="preserve"> and </w:t>
      </w:r>
      <w:r w:rsidR="00FB69FF" w:rsidRPr="00B401CE">
        <w:rPr>
          <w:rFonts w:asciiTheme="minorHAnsi" w:eastAsia="Times New Roman" w:hAnsiTheme="minorHAnsi" w:cs="Times New Roman"/>
          <w:color w:val="000000" w:themeColor="text1"/>
          <w:kern w:val="0"/>
          <w:szCs w:val="22"/>
          <w14:ligatures w14:val="none"/>
        </w:rPr>
        <w:t xml:space="preserve">loan </w:t>
      </w:r>
      <w:r w:rsidR="00877CF5" w:rsidRPr="00B401CE">
        <w:rPr>
          <w:rFonts w:asciiTheme="minorHAnsi" w:eastAsia="Times New Roman" w:hAnsiTheme="minorHAnsi" w:cs="Times New Roman"/>
          <w:color w:val="000000" w:themeColor="text1"/>
          <w:kern w:val="0"/>
          <w:szCs w:val="22"/>
          <w14:ligatures w14:val="none"/>
        </w:rPr>
        <w:t xml:space="preserve">and deposit </w:t>
      </w:r>
      <w:r w:rsidR="00FB69FF" w:rsidRPr="00B401CE">
        <w:rPr>
          <w:rFonts w:asciiTheme="minorHAnsi" w:eastAsia="Times New Roman" w:hAnsiTheme="minorHAnsi" w:cs="Times New Roman"/>
          <w:color w:val="000000" w:themeColor="text1"/>
          <w:kern w:val="0"/>
          <w:szCs w:val="22"/>
          <w14:ligatures w14:val="none"/>
        </w:rPr>
        <w:t>portfolio</w:t>
      </w:r>
      <w:r w:rsidR="00877CF5" w:rsidRPr="00B401CE">
        <w:rPr>
          <w:rFonts w:asciiTheme="minorHAnsi" w:eastAsia="Times New Roman" w:hAnsiTheme="minorHAnsi" w:cs="Times New Roman"/>
          <w:color w:val="000000" w:themeColor="text1"/>
          <w:kern w:val="0"/>
          <w:szCs w:val="22"/>
          <w14:ligatures w14:val="none"/>
        </w:rPr>
        <w:t>s</w:t>
      </w:r>
      <w:r w:rsidR="008673F8" w:rsidRPr="00B401CE">
        <w:rPr>
          <w:rFonts w:asciiTheme="minorHAnsi" w:eastAsia="Times New Roman" w:hAnsiTheme="minorHAnsi" w:cs="Times New Roman"/>
          <w:color w:val="000000" w:themeColor="text1"/>
          <w:kern w:val="0"/>
          <w:szCs w:val="22"/>
          <w14:ligatures w14:val="none"/>
        </w:rPr>
        <w:t>.  T</w:t>
      </w:r>
      <w:r w:rsidR="00FB69FF" w:rsidRPr="00B401CE">
        <w:rPr>
          <w:rFonts w:asciiTheme="minorHAnsi" w:eastAsia="Times New Roman" w:hAnsiTheme="minorHAnsi" w:cs="Times New Roman"/>
          <w:color w:val="000000" w:themeColor="text1"/>
          <w:kern w:val="0"/>
          <w:szCs w:val="22"/>
          <w14:ligatures w14:val="none"/>
        </w:rPr>
        <w:t xml:space="preserve">he combination of the two institutions will result in enhanced scale and market penetration throughout the bank’s markets, which include </w:t>
      </w:r>
      <w:r w:rsidR="00C6106A" w:rsidRPr="00B401CE">
        <w:rPr>
          <w:rFonts w:asciiTheme="minorHAnsi" w:eastAsia="Times New Roman" w:hAnsiTheme="minorHAnsi" w:cs="Times New Roman"/>
          <w:color w:val="000000" w:themeColor="text1"/>
          <w:kern w:val="0"/>
          <w:szCs w:val="22"/>
          <w14:ligatures w14:val="none"/>
        </w:rPr>
        <w:t xml:space="preserve">the Louisiana parishes of </w:t>
      </w:r>
      <w:r w:rsidR="00C6106A" w:rsidRPr="00B401CE">
        <w:rPr>
          <w:rFonts w:asciiTheme="minorHAnsi" w:hAnsiTheme="minorHAnsi"/>
          <w:szCs w:val="22"/>
        </w:rPr>
        <w:t>Bienville, Claiborne, Webster, Bossier, Caddo, Lincoln, Union, and Ouachita.</w:t>
      </w:r>
      <w:r w:rsidR="00C6106A" w:rsidRPr="00B401CE">
        <w:rPr>
          <w:rFonts w:asciiTheme="minorHAnsi" w:eastAsia="Times New Roman" w:hAnsiTheme="minorHAnsi" w:cs="Times New Roman"/>
          <w:color w:val="000000" w:themeColor="text1"/>
          <w:kern w:val="0"/>
          <w:szCs w:val="22"/>
          <w14:ligatures w14:val="none"/>
        </w:rPr>
        <w:t xml:space="preserve"> </w:t>
      </w:r>
      <w:r w:rsidR="006E46EF">
        <w:rPr>
          <w:rFonts w:asciiTheme="minorHAnsi" w:eastAsia="Times New Roman" w:hAnsiTheme="minorHAnsi" w:cs="Times New Roman"/>
          <w:color w:val="000000" w:themeColor="text1"/>
          <w:kern w:val="0"/>
          <w:szCs w:val="22"/>
          <w14:ligatures w14:val="none"/>
        </w:rPr>
        <w:t>As a result of the merger, the combined bank has</w:t>
      </w:r>
      <w:r w:rsidR="00FB69FF" w:rsidRPr="00B401CE">
        <w:rPr>
          <w:rFonts w:asciiTheme="minorHAnsi" w:eastAsia="Times New Roman" w:hAnsiTheme="minorHAnsi" w:cs="Times New Roman"/>
          <w:color w:val="000000" w:themeColor="text1"/>
          <w:kern w:val="0"/>
          <w:szCs w:val="22"/>
          <w14:ligatures w14:val="none"/>
        </w:rPr>
        <w:t xml:space="preserve"> approximately $</w:t>
      </w:r>
      <w:r w:rsidR="00643504" w:rsidRPr="00B401CE">
        <w:rPr>
          <w:rFonts w:asciiTheme="minorHAnsi" w:eastAsia="Times New Roman" w:hAnsiTheme="minorHAnsi" w:cs="Times New Roman"/>
          <w:color w:val="000000" w:themeColor="text1"/>
          <w:kern w:val="0"/>
          <w:szCs w:val="22"/>
          <w14:ligatures w14:val="none"/>
        </w:rPr>
        <w:t>8</w:t>
      </w:r>
      <w:r w:rsidR="002B638F">
        <w:rPr>
          <w:rFonts w:asciiTheme="minorHAnsi" w:eastAsia="Times New Roman" w:hAnsiTheme="minorHAnsi" w:cs="Times New Roman"/>
          <w:color w:val="000000" w:themeColor="text1"/>
          <w:kern w:val="0"/>
          <w:szCs w:val="22"/>
          <w14:ligatures w14:val="none"/>
        </w:rPr>
        <w:t>59</w:t>
      </w:r>
      <w:r w:rsidR="00643504" w:rsidRPr="00B401CE">
        <w:rPr>
          <w:rFonts w:asciiTheme="minorHAnsi" w:eastAsia="Times New Roman" w:hAnsiTheme="minorHAnsi" w:cs="Times New Roman"/>
          <w:color w:val="000000" w:themeColor="text1"/>
          <w:kern w:val="0"/>
          <w:szCs w:val="22"/>
          <w14:ligatures w14:val="none"/>
        </w:rPr>
        <w:t xml:space="preserve"> m</w:t>
      </w:r>
      <w:r w:rsidR="00FB69FF" w:rsidRPr="00B401CE">
        <w:rPr>
          <w:rFonts w:asciiTheme="minorHAnsi" w:eastAsia="Times New Roman" w:hAnsiTheme="minorHAnsi" w:cs="Times New Roman"/>
          <w:color w:val="000000" w:themeColor="text1"/>
          <w:kern w:val="0"/>
          <w:szCs w:val="22"/>
          <w14:ligatures w14:val="none"/>
        </w:rPr>
        <w:t>illion</w:t>
      </w:r>
      <w:r w:rsidR="006E46EF">
        <w:rPr>
          <w:rFonts w:asciiTheme="minorHAnsi" w:eastAsia="Times New Roman" w:hAnsiTheme="minorHAnsi" w:cs="Times New Roman"/>
          <w:color w:val="000000" w:themeColor="text1"/>
          <w:kern w:val="0"/>
          <w:szCs w:val="22"/>
          <w14:ligatures w14:val="none"/>
        </w:rPr>
        <w:t xml:space="preserve"> in total assets</w:t>
      </w:r>
      <w:r w:rsidR="00FB69FF" w:rsidRPr="00B401CE">
        <w:rPr>
          <w:rFonts w:asciiTheme="minorHAnsi" w:eastAsia="Times New Roman" w:hAnsiTheme="minorHAnsi" w:cs="Times New Roman"/>
          <w:color w:val="000000" w:themeColor="text1"/>
          <w:kern w:val="0"/>
          <w:szCs w:val="22"/>
          <w14:ligatures w14:val="none"/>
        </w:rPr>
        <w:t>,</w:t>
      </w:r>
      <w:r w:rsidR="00735464">
        <w:rPr>
          <w:rFonts w:asciiTheme="minorHAnsi" w:eastAsia="Times New Roman" w:hAnsiTheme="minorHAnsi" w:cs="Times New Roman"/>
          <w:color w:val="000000" w:themeColor="text1"/>
          <w:kern w:val="0"/>
          <w:szCs w:val="22"/>
          <w14:ligatures w14:val="none"/>
        </w:rPr>
        <w:t xml:space="preserve"> approximately</w:t>
      </w:r>
      <w:r w:rsidR="00FB69FF" w:rsidRPr="00B401CE">
        <w:rPr>
          <w:rFonts w:asciiTheme="minorHAnsi" w:eastAsia="Times New Roman" w:hAnsiTheme="minorHAnsi" w:cs="Times New Roman"/>
          <w:color w:val="000000" w:themeColor="text1"/>
          <w:kern w:val="0"/>
          <w:szCs w:val="22"/>
          <w14:ligatures w14:val="none"/>
        </w:rPr>
        <w:t xml:space="preserve"> $</w:t>
      </w:r>
      <w:r w:rsidR="00643504" w:rsidRPr="00B401CE">
        <w:rPr>
          <w:rFonts w:asciiTheme="minorHAnsi" w:eastAsia="Times New Roman" w:hAnsiTheme="minorHAnsi" w:cs="Times New Roman"/>
          <w:color w:val="000000" w:themeColor="text1"/>
          <w:kern w:val="0"/>
          <w:szCs w:val="22"/>
          <w14:ligatures w14:val="none"/>
        </w:rPr>
        <w:t>6</w:t>
      </w:r>
      <w:r w:rsidR="002B638F">
        <w:rPr>
          <w:rFonts w:asciiTheme="minorHAnsi" w:eastAsia="Times New Roman" w:hAnsiTheme="minorHAnsi" w:cs="Times New Roman"/>
          <w:color w:val="000000" w:themeColor="text1"/>
          <w:kern w:val="0"/>
          <w:szCs w:val="22"/>
          <w14:ligatures w14:val="none"/>
        </w:rPr>
        <w:t>17</w:t>
      </w:r>
      <w:r w:rsidR="00643504" w:rsidRPr="00B401CE">
        <w:rPr>
          <w:rFonts w:asciiTheme="minorHAnsi" w:eastAsia="Times New Roman" w:hAnsiTheme="minorHAnsi" w:cs="Times New Roman"/>
          <w:color w:val="000000" w:themeColor="text1"/>
          <w:kern w:val="0"/>
          <w:szCs w:val="22"/>
          <w14:ligatures w14:val="none"/>
        </w:rPr>
        <w:t xml:space="preserve"> </w:t>
      </w:r>
      <w:r w:rsidR="00FB69FF" w:rsidRPr="00B401CE">
        <w:rPr>
          <w:rFonts w:asciiTheme="minorHAnsi" w:eastAsia="Times New Roman" w:hAnsiTheme="minorHAnsi" w:cs="Times New Roman"/>
          <w:color w:val="000000" w:themeColor="text1"/>
          <w:kern w:val="0"/>
          <w:szCs w:val="22"/>
          <w14:ligatures w14:val="none"/>
        </w:rPr>
        <w:t>million</w:t>
      </w:r>
      <w:r w:rsidR="006E46EF">
        <w:rPr>
          <w:rFonts w:asciiTheme="minorHAnsi" w:eastAsia="Times New Roman" w:hAnsiTheme="minorHAnsi" w:cs="Times New Roman"/>
          <w:color w:val="000000" w:themeColor="text1"/>
          <w:kern w:val="0"/>
          <w:szCs w:val="22"/>
          <w14:ligatures w14:val="none"/>
        </w:rPr>
        <w:t xml:space="preserve"> in total loans</w:t>
      </w:r>
      <w:r w:rsidR="00FB69FF" w:rsidRPr="00B401CE">
        <w:rPr>
          <w:rFonts w:asciiTheme="minorHAnsi" w:eastAsia="Times New Roman" w:hAnsiTheme="minorHAnsi" w:cs="Times New Roman"/>
          <w:color w:val="000000" w:themeColor="text1"/>
          <w:kern w:val="0"/>
          <w:szCs w:val="22"/>
          <w14:ligatures w14:val="none"/>
        </w:rPr>
        <w:t xml:space="preserve">, and </w:t>
      </w:r>
      <w:r w:rsidR="00735464">
        <w:rPr>
          <w:rFonts w:asciiTheme="minorHAnsi" w:eastAsia="Times New Roman" w:hAnsiTheme="minorHAnsi" w:cs="Times New Roman"/>
          <w:color w:val="000000" w:themeColor="text1"/>
          <w:kern w:val="0"/>
          <w:szCs w:val="22"/>
          <w14:ligatures w14:val="none"/>
        </w:rPr>
        <w:t xml:space="preserve">approximately </w:t>
      </w:r>
      <w:r w:rsidR="00FB69FF" w:rsidRPr="00B401CE">
        <w:rPr>
          <w:rFonts w:asciiTheme="minorHAnsi" w:eastAsia="Times New Roman" w:hAnsiTheme="minorHAnsi" w:cs="Times New Roman"/>
          <w:color w:val="000000" w:themeColor="text1"/>
          <w:kern w:val="0"/>
          <w:szCs w:val="22"/>
          <w14:ligatures w14:val="none"/>
        </w:rPr>
        <w:t>$</w:t>
      </w:r>
      <w:r w:rsidR="00643504" w:rsidRPr="00B401CE">
        <w:rPr>
          <w:rFonts w:asciiTheme="minorHAnsi" w:eastAsia="Times New Roman" w:hAnsiTheme="minorHAnsi" w:cs="Times New Roman"/>
          <w:color w:val="000000" w:themeColor="text1"/>
          <w:kern w:val="0"/>
          <w:szCs w:val="22"/>
          <w14:ligatures w14:val="none"/>
        </w:rPr>
        <w:t>6</w:t>
      </w:r>
      <w:r w:rsidR="002B638F">
        <w:rPr>
          <w:rFonts w:asciiTheme="minorHAnsi" w:eastAsia="Times New Roman" w:hAnsiTheme="minorHAnsi" w:cs="Times New Roman"/>
          <w:color w:val="000000" w:themeColor="text1"/>
          <w:kern w:val="0"/>
          <w:szCs w:val="22"/>
          <w14:ligatures w14:val="none"/>
        </w:rPr>
        <w:t>85</w:t>
      </w:r>
      <w:r w:rsidR="00643504" w:rsidRPr="00B401CE">
        <w:rPr>
          <w:rFonts w:asciiTheme="minorHAnsi" w:eastAsia="Times New Roman" w:hAnsiTheme="minorHAnsi" w:cs="Times New Roman"/>
          <w:color w:val="000000" w:themeColor="text1"/>
          <w:kern w:val="0"/>
          <w:szCs w:val="22"/>
          <w14:ligatures w14:val="none"/>
        </w:rPr>
        <w:t xml:space="preserve"> mi</w:t>
      </w:r>
      <w:r w:rsidR="00FB69FF" w:rsidRPr="00B401CE">
        <w:rPr>
          <w:rFonts w:asciiTheme="minorHAnsi" w:eastAsia="Times New Roman" w:hAnsiTheme="minorHAnsi" w:cs="Times New Roman"/>
          <w:color w:val="000000" w:themeColor="text1"/>
          <w:kern w:val="0"/>
          <w:szCs w:val="22"/>
          <w14:ligatures w14:val="none"/>
        </w:rPr>
        <w:t>llion</w:t>
      </w:r>
      <w:r w:rsidR="006E46EF">
        <w:rPr>
          <w:rFonts w:asciiTheme="minorHAnsi" w:eastAsia="Times New Roman" w:hAnsiTheme="minorHAnsi" w:cs="Times New Roman"/>
          <w:color w:val="000000" w:themeColor="text1"/>
          <w:kern w:val="0"/>
          <w:szCs w:val="22"/>
          <w14:ligatures w14:val="none"/>
        </w:rPr>
        <w:t xml:space="preserve"> in total deposits</w:t>
      </w:r>
      <w:r w:rsidR="00FB69FF" w:rsidRPr="00B401CE">
        <w:rPr>
          <w:rFonts w:asciiTheme="minorHAnsi" w:eastAsia="Times New Roman" w:hAnsiTheme="minorHAnsi" w:cs="Times New Roman"/>
          <w:color w:val="000000" w:themeColor="text1"/>
          <w:kern w:val="0"/>
          <w:szCs w:val="22"/>
          <w14:ligatures w14:val="none"/>
        </w:rPr>
        <w:t xml:space="preserve">, making it one of the premier community banking franchises in the </w:t>
      </w:r>
      <w:r w:rsidR="00D3208B" w:rsidRPr="00B401CE">
        <w:rPr>
          <w:rFonts w:asciiTheme="minorHAnsi" w:eastAsia="Times New Roman" w:hAnsiTheme="minorHAnsi" w:cs="Times New Roman"/>
          <w:color w:val="000000" w:themeColor="text1"/>
          <w:kern w:val="0"/>
          <w:szCs w:val="22"/>
          <w14:ligatures w14:val="none"/>
        </w:rPr>
        <w:t>Northern Louisiana</w:t>
      </w:r>
      <w:r w:rsidR="00FB69FF" w:rsidRPr="00B401CE">
        <w:rPr>
          <w:rFonts w:asciiTheme="minorHAnsi" w:eastAsia="Times New Roman" w:hAnsiTheme="minorHAnsi" w:cs="Times New Roman"/>
          <w:color w:val="000000" w:themeColor="text1"/>
          <w:kern w:val="0"/>
          <w:szCs w:val="22"/>
          <w14:ligatures w14:val="none"/>
        </w:rPr>
        <w:t xml:space="preserve"> region.  </w:t>
      </w:r>
    </w:p>
    <w:p w14:paraId="2456E4A5" w14:textId="438C83DB" w:rsidR="00707A77" w:rsidRPr="00B401CE" w:rsidRDefault="00707A77" w:rsidP="00541084">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“We are excited to announce our partnership with Marion State Bank and look forward to bringing together two deeply rooted Louisiana community banking franchises. Marion State Bank has built an outstanding reputation over more than a century of service to its customers and communities, and its presence in Union and Ouachita parishes is a natural complement to our franchise across northern Louisiana,” reported Thomas L. Martin, Chairman and CEO of Gibsland Bancshares and of Gibsland Bank.</w:t>
      </w:r>
    </w:p>
    <w:p w14:paraId="766A34F3" w14:textId="489B1396" w:rsidR="007D1DD8" w:rsidRPr="00B401CE" w:rsidRDefault="00707A77" w:rsidP="00B401CE">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“Together, we believe our combined organization will be well positioned to deliver relationship-focused banking services while continuing to invest in and support the communities we are proud to serve,” explained W. Michael Hipp, President of Gibsland Bank.</w:t>
      </w:r>
    </w:p>
    <w:p w14:paraId="58750227" w14:textId="334F1AB9" w:rsidR="00707A77" w:rsidRPr="00B401CE" w:rsidRDefault="00F60633" w:rsidP="00541084">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 xml:space="preserve">In connection with the completion of the acquisition, Scott Jones, </w:t>
      </w:r>
      <w:r w:rsidR="00574091">
        <w:rPr>
          <w:rFonts w:asciiTheme="minorHAnsi" w:eastAsia="Times New Roman" w:hAnsiTheme="minorHAnsi" w:cs="Times New Roman"/>
          <w:color w:val="000000" w:themeColor="text1"/>
          <w:kern w:val="0"/>
          <w:szCs w:val="22"/>
          <w14:ligatures w14:val="none"/>
        </w:rPr>
        <w:t xml:space="preserve">formerly the </w:t>
      </w:r>
      <w:r w:rsidR="00012931" w:rsidRPr="00B401CE">
        <w:rPr>
          <w:rFonts w:asciiTheme="minorHAnsi" w:eastAsia="Times New Roman" w:hAnsiTheme="minorHAnsi" w:cs="Times New Roman"/>
          <w:color w:val="000000" w:themeColor="text1"/>
          <w:kern w:val="0"/>
          <w:szCs w:val="22"/>
          <w14:ligatures w14:val="none"/>
        </w:rPr>
        <w:t>CEO</w:t>
      </w:r>
      <w:r w:rsidRPr="00B401CE">
        <w:rPr>
          <w:rFonts w:asciiTheme="minorHAnsi" w:eastAsia="Times New Roman" w:hAnsiTheme="minorHAnsi" w:cs="Times New Roman"/>
          <w:color w:val="000000" w:themeColor="text1"/>
          <w:kern w:val="0"/>
          <w:szCs w:val="22"/>
          <w14:ligatures w14:val="none"/>
        </w:rPr>
        <w:t xml:space="preserve"> of Marion State Bank, has joined the Boards of Directors of Gibsland Bancshares and Gibsland Bank. </w:t>
      </w:r>
    </w:p>
    <w:p w14:paraId="0E24CE55" w14:textId="12B5A2B1" w:rsidR="00940B45" w:rsidRPr="00B401CE" w:rsidRDefault="00541084" w:rsidP="00B401CE">
      <w:pPr>
        <w:spacing w:after="160"/>
        <w:rPr>
          <w:rFonts w:asciiTheme="minorHAnsi" w:eastAsia="Times New Roman" w:hAnsiTheme="minorHAnsi" w:cs="Times New Roman"/>
          <w:color w:val="000000" w:themeColor="text1"/>
          <w:kern w:val="0"/>
          <w:szCs w:val="22"/>
          <w14:ligatures w14:val="none"/>
        </w:rPr>
      </w:pPr>
      <w:r>
        <w:rPr>
          <w:rFonts w:asciiTheme="minorHAnsi" w:eastAsia="Times New Roman" w:hAnsiTheme="minorHAnsi" w:cs="Times New Roman"/>
          <w:color w:val="000000" w:themeColor="text1"/>
          <w:kern w:val="0"/>
          <w:szCs w:val="22"/>
          <w14:ligatures w14:val="none"/>
        </w:rPr>
        <w:t>C</w:t>
      </w:r>
      <w:r w:rsidR="00FB69FF" w:rsidRPr="00B401CE">
        <w:rPr>
          <w:rFonts w:asciiTheme="minorHAnsi" w:eastAsia="Times New Roman" w:hAnsiTheme="minorHAnsi" w:cs="Times New Roman"/>
          <w:color w:val="000000" w:themeColor="text1"/>
          <w:kern w:val="0"/>
          <w:szCs w:val="22"/>
          <w14:ligatures w14:val="none"/>
        </w:rPr>
        <w:t xml:space="preserve">ustomers of </w:t>
      </w:r>
      <w:r w:rsidR="005D6D00" w:rsidRPr="00B401CE">
        <w:rPr>
          <w:rFonts w:asciiTheme="minorHAnsi" w:eastAsia="Times New Roman" w:hAnsiTheme="minorHAnsi" w:cs="Times New Roman"/>
          <w:color w:val="000000" w:themeColor="text1"/>
          <w:kern w:val="0"/>
          <w:szCs w:val="22"/>
          <w14:ligatures w14:val="none"/>
        </w:rPr>
        <w:t>Marion State Bank</w:t>
      </w:r>
      <w:r w:rsidR="00FB69FF" w:rsidRPr="00B401CE">
        <w:rPr>
          <w:rFonts w:asciiTheme="minorHAnsi" w:eastAsia="Times New Roman" w:hAnsiTheme="minorHAnsi" w:cs="Times New Roman"/>
          <w:color w:val="000000" w:themeColor="text1"/>
          <w:kern w:val="0"/>
          <w:szCs w:val="22"/>
          <w14:ligatures w14:val="none"/>
        </w:rPr>
        <w:t xml:space="preserve"> will continue to be served through their existing branch, website, and digital banking platforms until all core systems are converted to</w:t>
      </w:r>
      <w:r w:rsidR="0030277B" w:rsidRPr="00B401CE">
        <w:rPr>
          <w:rFonts w:asciiTheme="minorHAnsi" w:eastAsia="Times New Roman" w:hAnsiTheme="minorHAnsi" w:cs="Times New Roman"/>
          <w:color w:val="000000" w:themeColor="text1"/>
          <w:kern w:val="0"/>
          <w:szCs w:val="22"/>
          <w14:ligatures w14:val="none"/>
        </w:rPr>
        <w:t xml:space="preserve"> a single platform</w:t>
      </w:r>
      <w:r w:rsidR="00FB69FF" w:rsidRPr="00B401CE">
        <w:rPr>
          <w:rFonts w:asciiTheme="minorHAnsi" w:eastAsia="Times New Roman" w:hAnsiTheme="minorHAnsi" w:cs="Times New Roman"/>
          <w:color w:val="000000" w:themeColor="text1"/>
          <w:kern w:val="0"/>
          <w:szCs w:val="22"/>
          <w14:ligatures w14:val="none"/>
        </w:rPr>
        <w:t xml:space="preserve">, which is expected to occur in the </w:t>
      </w:r>
      <w:r w:rsidR="00214FFD" w:rsidRPr="00B401CE">
        <w:rPr>
          <w:rFonts w:asciiTheme="minorHAnsi" w:eastAsia="Times New Roman" w:hAnsiTheme="minorHAnsi" w:cs="Times New Roman"/>
          <w:color w:val="000000" w:themeColor="text1"/>
          <w:kern w:val="0"/>
          <w:szCs w:val="22"/>
          <w14:ligatures w14:val="none"/>
        </w:rPr>
        <w:t xml:space="preserve">first </w:t>
      </w:r>
      <w:r w:rsidR="00FB69FF" w:rsidRPr="00B401CE">
        <w:rPr>
          <w:rFonts w:asciiTheme="minorHAnsi" w:eastAsia="Times New Roman" w:hAnsiTheme="minorHAnsi" w:cs="Times New Roman"/>
          <w:color w:val="000000" w:themeColor="text1"/>
          <w:kern w:val="0"/>
          <w:szCs w:val="22"/>
          <w14:ligatures w14:val="none"/>
        </w:rPr>
        <w:t>quarter of 2027. Customers will receive detailed conversion information in advance of any changes.</w:t>
      </w:r>
    </w:p>
    <w:p w14:paraId="78F21256" w14:textId="16FFC3CB" w:rsidR="00E7379A" w:rsidRPr="00B401CE" w:rsidRDefault="00C84F8C" w:rsidP="00B401CE">
      <w:pPr>
        <w:spacing w:after="160"/>
        <w:rPr>
          <w:rFonts w:asciiTheme="minorHAnsi" w:hAnsiTheme="minorHAnsi"/>
          <w:color w:val="000000" w:themeColor="text1"/>
          <w:szCs w:val="22"/>
        </w:rPr>
      </w:pPr>
      <w:r w:rsidRPr="00B401CE">
        <w:rPr>
          <w:rFonts w:asciiTheme="minorHAnsi" w:hAnsiTheme="minorHAnsi"/>
          <w:b/>
          <w:bCs/>
          <w:color w:val="000000" w:themeColor="text1"/>
          <w:szCs w:val="22"/>
        </w:rPr>
        <w:t>About </w:t>
      </w:r>
      <w:r w:rsidR="00707A77" w:rsidRPr="00B401CE">
        <w:rPr>
          <w:rFonts w:asciiTheme="minorHAnsi" w:hAnsiTheme="minorHAnsi"/>
          <w:b/>
          <w:bCs/>
          <w:color w:val="000000" w:themeColor="text1"/>
          <w:szCs w:val="22"/>
        </w:rPr>
        <w:t>Gibsland Bancshares, Inc.</w:t>
      </w:r>
    </w:p>
    <w:p w14:paraId="6F4F9C43" w14:textId="01CBF2A4" w:rsidR="009A3652" w:rsidRPr="00B401CE" w:rsidRDefault="00707A77" w:rsidP="00B401CE">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 xml:space="preserve">Gibsland Bancshares, Inc. is the bank holding company for Gibsland Bank &amp; Trust Company, a community development financial institution headquartered in Gibsland, Louisiana. Gibsland Bank &amp; Trust Company operates 13 branches across Northern Louisiana and is focused on serving </w:t>
      </w:r>
      <w:r w:rsidRPr="00B401CE">
        <w:rPr>
          <w:rFonts w:asciiTheme="minorHAnsi" w:eastAsia="Times New Roman" w:hAnsiTheme="minorHAnsi" w:cs="Times New Roman"/>
          <w:color w:val="000000" w:themeColor="text1"/>
          <w:kern w:val="0"/>
          <w:szCs w:val="22"/>
          <w14:ligatures w14:val="none"/>
        </w:rPr>
        <w:lastRenderedPageBreak/>
        <w:t xml:space="preserve">underserved and rural markets by providing financial services and broader economic support within the communities it serves. </w:t>
      </w:r>
    </w:p>
    <w:p w14:paraId="7590C13E" w14:textId="767A175F" w:rsidR="0030277B" w:rsidRPr="00B401CE" w:rsidRDefault="00707A77" w:rsidP="00B401CE">
      <w:pPr>
        <w:spacing w:after="160"/>
        <w:rPr>
          <w:rFonts w:asciiTheme="minorHAnsi" w:hAnsiTheme="minorHAnsi"/>
          <w:b/>
          <w:bCs/>
          <w:color w:val="000000" w:themeColor="text1"/>
          <w:szCs w:val="22"/>
        </w:rPr>
      </w:pPr>
      <w:r w:rsidRPr="00B401CE">
        <w:rPr>
          <w:rFonts w:asciiTheme="minorHAnsi" w:hAnsiTheme="minorHAnsi"/>
          <w:b/>
          <w:bCs/>
          <w:color w:val="000000" w:themeColor="text1"/>
          <w:szCs w:val="22"/>
        </w:rPr>
        <w:t>Media Contact:</w:t>
      </w:r>
    </w:p>
    <w:p w14:paraId="2C46A010" w14:textId="296764B5" w:rsidR="00E71211" w:rsidRDefault="00707A77" w:rsidP="00B401CE">
      <w:pPr>
        <w:spacing w:after="160"/>
        <w:rPr>
          <w:rFonts w:asciiTheme="minorHAnsi" w:eastAsia="Times New Roman" w:hAnsiTheme="minorHAnsi" w:cs="Times New Roman"/>
          <w:color w:val="000000" w:themeColor="text1"/>
          <w:kern w:val="0"/>
          <w:szCs w:val="22"/>
          <w14:ligatures w14:val="none"/>
        </w:rPr>
      </w:pPr>
      <w:r w:rsidRPr="00B401CE">
        <w:rPr>
          <w:rFonts w:asciiTheme="minorHAnsi" w:eastAsia="Times New Roman" w:hAnsiTheme="minorHAnsi" w:cs="Times New Roman"/>
          <w:color w:val="000000" w:themeColor="text1"/>
          <w:kern w:val="0"/>
          <w:szCs w:val="22"/>
          <w14:ligatures w14:val="none"/>
        </w:rPr>
        <w:t>Thomas L. Martin, Chairman and CEO</w:t>
      </w:r>
      <w:r w:rsidRPr="00B401CE">
        <w:rPr>
          <w:rFonts w:asciiTheme="minorHAnsi" w:eastAsia="Times New Roman" w:hAnsiTheme="minorHAnsi" w:cs="Times New Roman"/>
          <w:color w:val="000000" w:themeColor="text1"/>
          <w:kern w:val="0"/>
          <w:szCs w:val="22"/>
          <w14:ligatures w14:val="none"/>
        </w:rPr>
        <w:br/>
        <w:t>Gibsland Bank &amp; Trust Company/Gibsland Bancshares, Inc.</w:t>
      </w:r>
      <w:r w:rsidRPr="00B401CE">
        <w:rPr>
          <w:rFonts w:asciiTheme="minorHAnsi" w:eastAsia="Times New Roman" w:hAnsiTheme="minorHAnsi" w:cs="Times New Roman"/>
          <w:color w:val="000000" w:themeColor="text1"/>
          <w:kern w:val="0"/>
          <w:szCs w:val="22"/>
          <w14:ligatures w14:val="none"/>
        </w:rPr>
        <w:br/>
      </w:r>
      <w:hyperlink r:id="rId9" w:history="1">
        <w:r w:rsidRPr="00B401CE">
          <w:rPr>
            <w:rFonts w:asciiTheme="minorHAnsi" w:eastAsia="Times New Roman" w:hAnsiTheme="minorHAnsi" w:cs="Times New Roman"/>
            <w:color w:val="000000" w:themeColor="text1"/>
            <w:kern w:val="0"/>
            <w:szCs w:val="22"/>
            <w14:ligatures w14:val="none"/>
          </w:rPr>
          <w:t>tmartin@gbt.bank</w:t>
        </w:r>
      </w:hyperlink>
      <w:r w:rsidRPr="00B401CE">
        <w:rPr>
          <w:rFonts w:asciiTheme="minorHAnsi" w:eastAsia="Times New Roman" w:hAnsiTheme="minorHAnsi" w:cs="Times New Roman"/>
          <w:color w:val="000000" w:themeColor="text1"/>
          <w:kern w:val="0"/>
          <w:szCs w:val="22"/>
          <w14:ligatures w14:val="none"/>
        </w:rPr>
        <w:t xml:space="preserve"> </w:t>
      </w:r>
      <w:r w:rsidRPr="00B401CE">
        <w:rPr>
          <w:rFonts w:asciiTheme="minorHAnsi" w:eastAsia="Times New Roman" w:hAnsiTheme="minorHAnsi" w:cs="Times New Roman"/>
          <w:color w:val="000000" w:themeColor="text1"/>
          <w:kern w:val="0"/>
          <w:szCs w:val="22"/>
          <w14:ligatures w14:val="none"/>
        </w:rPr>
        <w:br/>
      </w:r>
    </w:p>
    <w:p w14:paraId="49A138BD" w14:textId="77777777" w:rsidR="00E71211" w:rsidRDefault="00E71211" w:rsidP="00E71211">
      <w:pPr>
        <w:spacing w:after="160"/>
        <w:rPr>
          <w:rFonts w:asciiTheme="minorHAnsi" w:eastAsia="Times New Roman" w:hAnsiTheme="minorHAnsi" w:cs="Times New Roman"/>
          <w:color w:val="000000" w:themeColor="text1"/>
          <w:kern w:val="0"/>
          <w:szCs w:val="22"/>
          <w14:ligatures w14:val="none"/>
        </w:rPr>
      </w:pPr>
      <w:r>
        <w:rPr>
          <w:rFonts w:asciiTheme="minorHAnsi" w:eastAsia="Times New Roman" w:hAnsiTheme="minorHAnsi" w:cs="Times New Roman"/>
          <w:color w:val="000000" w:themeColor="text1"/>
          <w:kern w:val="0"/>
          <w:szCs w:val="22"/>
          <w14:ligatures w14:val="none"/>
        </w:rPr>
        <w:t>W. Michael Hipp, President</w:t>
      </w:r>
      <w:r w:rsidRPr="00E71211">
        <w:rPr>
          <w:rFonts w:asciiTheme="minorHAnsi" w:eastAsia="Times New Roman" w:hAnsiTheme="minorHAnsi" w:cs="Times New Roman"/>
          <w:color w:val="000000" w:themeColor="text1"/>
          <w:kern w:val="0"/>
          <w:szCs w:val="22"/>
          <w14:ligatures w14:val="none"/>
        </w:rPr>
        <w:br/>
        <w:t>Gibsland Bank &amp; Trust Company/Gibsland Bancshares, Inc.</w:t>
      </w:r>
      <w:r w:rsidRPr="00E71211">
        <w:rPr>
          <w:rFonts w:asciiTheme="minorHAnsi" w:eastAsia="Times New Roman" w:hAnsiTheme="minorHAnsi" w:cs="Times New Roman"/>
          <w:color w:val="000000" w:themeColor="text1"/>
          <w:kern w:val="0"/>
          <w:szCs w:val="22"/>
          <w14:ligatures w14:val="none"/>
        </w:rPr>
        <w:br/>
        <w:t>mhipp@gbt.</w:t>
      </w:r>
      <w:r>
        <w:rPr>
          <w:rFonts w:asciiTheme="minorHAnsi" w:eastAsia="Times New Roman" w:hAnsiTheme="minorHAnsi" w:cs="Times New Roman"/>
          <w:color w:val="000000" w:themeColor="text1"/>
          <w:kern w:val="0"/>
          <w:szCs w:val="22"/>
          <w14:ligatures w14:val="none"/>
        </w:rPr>
        <w:t>bank</w:t>
      </w:r>
      <w:r w:rsidRPr="00E71211">
        <w:rPr>
          <w:rFonts w:asciiTheme="minorHAnsi" w:eastAsia="Times New Roman" w:hAnsiTheme="minorHAnsi" w:cs="Times New Roman"/>
          <w:color w:val="000000" w:themeColor="text1"/>
          <w:kern w:val="0"/>
          <w:szCs w:val="22"/>
          <w14:ligatures w14:val="none"/>
        </w:rPr>
        <w:t xml:space="preserve"> </w:t>
      </w:r>
    </w:p>
    <w:p w14:paraId="4C418CEE" w14:textId="7CA7BA41" w:rsidR="00E71211" w:rsidRPr="00E71211" w:rsidRDefault="00E71211" w:rsidP="00E71211">
      <w:pPr>
        <w:spacing w:after="160"/>
        <w:rPr>
          <w:rFonts w:asciiTheme="minorHAnsi" w:eastAsia="Times New Roman" w:hAnsiTheme="minorHAnsi" w:cs="Times New Roman"/>
          <w:color w:val="000000" w:themeColor="text1"/>
          <w:kern w:val="0"/>
          <w:szCs w:val="22"/>
          <w14:ligatures w14:val="none"/>
        </w:rPr>
      </w:pPr>
      <w:r w:rsidRPr="00E71211">
        <w:rPr>
          <w:rFonts w:asciiTheme="minorHAnsi" w:eastAsia="Times New Roman" w:hAnsiTheme="minorHAnsi" w:cs="Times New Roman"/>
          <w:color w:val="000000" w:themeColor="text1"/>
          <w:kern w:val="0"/>
          <w:szCs w:val="22"/>
          <w14:ligatures w14:val="none"/>
        </w:rPr>
        <w:br/>
        <w:t>gbt.bank</w:t>
      </w:r>
    </w:p>
    <w:p w14:paraId="3B5167A0" w14:textId="77777777" w:rsidR="00E71211" w:rsidRPr="00B401CE" w:rsidRDefault="00E71211" w:rsidP="00B401CE">
      <w:pPr>
        <w:spacing w:after="160"/>
        <w:rPr>
          <w:rFonts w:asciiTheme="minorHAnsi" w:eastAsia="Times New Roman" w:hAnsiTheme="minorHAnsi" w:cs="Times New Roman"/>
          <w:color w:val="000000" w:themeColor="text1"/>
          <w:kern w:val="0"/>
          <w:szCs w:val="22"/>
          <w14:ligatures w14:val="none"/>
        </w:rPr>
      </w:pPr>
    </w:p>
    <w:p w14:paraId="1724E8DD" w14:textId="27BC8AB6" w:rsidR="00707A77" w:rsidRPr="00F11276" w:rsidRDefault="00707A77" w:rsidP="00B401CE">
      <w:pPr>
        <w:spacing w:after="160"/>
        <w:rPr>
          <w:rFonts w:asciiTheme="minorHAnsi" w:hAnsiTheme="minorHAnsi"/>
          <w:color w:val="000000" w:themeColor="text1"/>
          <w:sz w:val="24"/>
        </w:rPr>
      </w:pPr>
    </w:p>
    <w:sectPr w:rsidR="00707A77" w:rsidRPr="00F1127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4E93" w14:textId="77777777" w:rsidR="003B2F27" w:rsidRDefault="003B2F27">
      <w:r>
        <w:separator/>
      </w:r>
    </w:p>
  </w:endnote>
  <w:endnote w:type="continuationSeparator" w:id="0">
    <w:p w14:paraId="1B07B8E1" w14:textId="77777777" w:rsidR="003B2F27" w:rsidRDefault="003B2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926A" w14:textId="599A24CE" w:rsidR="00245242" w:rsidRDefault="00245242" w:rsidP="00D56500">
    <w:pPr>
      <w:pStyle w:val="DocID"/>
    </w:pPr>
  </w:p>
  <w:bookmarkStart w:id="0" w:name="_iDocIDField36ed9ecb-8938-4473-a330-b6de"/>
  <w:p w14:paraId="32BED808" w14:textId="24D0494F" w:rsidR="00245242" w:rsidRDefault="0024524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56D20">
      <w:rPr>
        <w:noProof/>
      </w:rPr>
      <w:instrText>2</w:instrText>
    </w:r>
    <w:r>
      <w:rPr>
        <w:noProof/>
      </w:rPr>
      <w:fldChar w:fldCharType="end"/>
    </w:r>
    <w:r>
      <w:instrText xml:space="preserve"> = 1 1 0</w:instrText>
    </w:r>
    <w:r>
      <w:fldChar w:fldCharType="separate"/>
    </w:r>
    <w:r w:rsidR="00A56D20">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A56D20">
        <w:instrText>1</w:instrText>
      </w:r>
    </w:fldSimple>
    <w:r>
      <w:instrText xml:space="preserve"> = "1"  </w:instrText>
    </w:r>
    <w:r>
      <w:fldChar w:fldCharType="separate"/>
    </w:r>
    <w:r w:rsidR="00A56D20">
      <w:rPr>
        <w:noProof/>
      </w:rPr>
      <w:instrText>1</w:instrText>
    </w:r>
    <w:r>
      <w:fldChar w:fldCharType="end"/>
    </w:r>
    <w:r>
      <w:instrText xml:space="preserve"> = 1 1 0</w:instrText>
    </w:r>
    <w:r>
      <w:fldChar w:fldCharType="separate"/>
    </w:r>
    <w:r w:rsidR="00A56D20">
      <w:rPr>
        <w:noProof/>
      </w:rPr>
      <w:instrText>1</w:instrText>
    </w:r>
    <w:r>
      <w:fldChar w:fldCharType="end"/>
    </w:r>
    <w:r>
      <w:fldChar w:fldCharType="separate"/>
    </w:r>
    <w:r w:rsidR="00A56D20">
      <w:rPr>
        <w:noProof/>
      </w:rPr>
      <w:instrText>0</w:instrText>
    </w:r>
    <w:r>
      <w:fldChar w:fldCharType="end"/>
    </w:r>
    <w:r>
      <w:instrText xml:space="preserve"> = 1 </w:instrText>
    </w:r>
    <w:fldSimple w:instr="  DOCPROPERTY &quot;CUS_DocIDChunk0&quot; ">
      <w:r>
        <w:instrText>232006.2</w:instrText>
      </w:r>
    </w:fldSimple>
    <w:r>
      <w:instrText xml:space="preserve"> </w:instrText>
    </w:r>
    <w:r>
      <w:fldChar w:fldCharType="end"/>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CD644" w14:textId="77777777" w:rsidR="003B2F27" w:rsidRDefault="003B2F27">
      <w:r>
        <w:separator/>
      </w:r>
    </w:p>
  </w:footnote>
  <w:footnote w:type="continuationSeparator" w:id="0">
    <w:p w14:paraId="710E1841" w14:textId="77777777" w:rsidR="003B2F27" w:rsidRDefault="003B2F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D8"/>
    <w:rsid w:val="00012931"/>
    <w:rsid w:val="00044396"/>
    <w:rsid w:val="00055F22"/>
    <w:rsid w:val="000C7FAD"/>
    <w:rsid w:val="00131B27"/>
    <w:rsid w:val="00170A2E"/>
    <w:rsid w:val="001B0923"/>
    <w:rsid w:val="00214101"/>
    <w:rsid w:val="00214FFD"/>
    <w:rsid w:val="00245242"/>
    <w:rsid w:val="002620B3"/>
    <w:rsid w:val="002B638F"/>
    <w:rsid w:val="002D1C20"/>
    <w:rsid w:val="002D7D29"/>
    <w:rsid w:val="002E0C4F"/>
    <w:rsid w:val="002E5E68"/>
    <w:rsid w:val="0030277B"/>
    <w:rsid w:val="0034055D"/>
    <w:rsid w:val="003446F3"/>
    <w:rsid w:val="003811BE"/>
    <w:rsid w:val="003B2F27"/>
    <w:rsid w:val="003C2134"/>
    <w:rsid w:val="003D3EF0"/>
    <w:rsid w:val="003D65BB"/>
    <w:rsid w:val="00412FCA"/>
    <w:rsid w:val="00416E0F"/>
    <w:rsid w:val="004778B1"/>
    <w:rsid w:val="0049682F"/>
    <w:rsid w:val="004A13F4"/>
    <w:rsid w:val="004A6E27"/>
    <w:rsid w:val="0051668B"/>
    <w:rsid w:val="00521D30"/>
    <w:rsid w:val="00534106"/>
    <w:rsid w:val="00541084"/>
    <w:rsid w:val="00543DD1"/>
    <w:rsid w:val="00565CFF"/>
    <w:rsid w:val="00574091"/>
    <w:rsid w:val="0059033E"/>
    <w:rsid w:val="00596503"/>
    <w:rsid w:val="005A1974"/>
    <w:rsid w:val="005C7AC6"/>
    <w:rsid w:val="005D426D"/>
    <w:rsid w:val="005D6D00"/>
    <w:rsid w:val="00602194"/>
    <w:rsid w:val="00643504"/>
    <w:rsid w:val="0064551F"/>
    <w:rsid w:val="0065268C"/>
    <w:rsid w:val="0066272B"/>
    <w:rsid w:val="00683073"/>
    <w:rsid w:val="006A19BA"/>
    <w:rsid w:val="006E46EF"/>
    <w:rsid w:val="00707A77"/>
    <w:rsid w:val="00735464"/>
    <w:rsid w:val="00746132"/>
    <w:rsid w:val="00747057"/>
    <w:rsid w:val="00747CE6"/>
    <w:rsid w:val="00790E86"/>
    <w:rsid w:val="007A6FE3"/>
    <w:rsid w:val="007D1DD8"/>
    <w:rsid w:val="007E4A91"/>
    <w:rsid w:val="008673F8"/>
    <w:rsid w:val="00877CF5"/>
    <w:rsid w:val="00882E44"/>
    <w:rsid w:val="0089556C"/>
    <w:rsid w:val="008C2E9F"/>
    <w:rsid w:val="008F62D1"/>
    <w:rsid w:val="00920035"/>
    <w:rsid w:val="00930F1E"/>
    <w:rsid w:val="00937310"/>
    <w:rsid w:val="00937645"/>
    <w:rsid w:val="00940B45"/>
    <w:rsid w:val="00975469"/>
    <w:rsid w:val="009976C9"/>
    <w:rsid w:val="009A3652"/>
    <w:rsid w:val="009E199B"/>
    <w:rsid w:val="009E1BEE"/>
    <w:rsid w:val="009F7316"/>
    <w:rsid w:val="00A3374D"/>
    <w:rsid w:val="00A423E8"/>
    <w:rsid w:val="00A56D20"/>
    <w:rsid w:val="00A8275F"/>
    <w:rsid w:val="00A839C0"/>
    <w:rsid w:val="00A92748"/>
    <w:rsid w:val="00AC43F7"/>
    <w:rsid w:val="00AC453B"/>
    <w:rsid w:val="00AE6944"/>
    <w:rsid w:val="00AE6ACF"/>
    <w:rsid w:val="00AF316C"/>
    <w:rsid w:val="00AF602A"/>
    <w:rsid w:val="00B249B8"/>
    <w:rsid w:val="00B32FA4"/>
    <w:rsid w:val="00B401CE"/>
    <w:rsid w:val="00B4029C"/>
    <w:rsid w:val="00B44A95"/>
    <w:rsid w:val="00B6098E"/>
    <w:rsid w:val="00B6353B"/>
    <w:rsid w:val="00B7064E"/>
    <w:rsid w:val="00B8716B"/>
    <w:rsid w:val="00BB1E1C"/>
    <w:rsid w:val="00BE75FC"/>
    <w:rsid w:val="00BF2051"/>
    <w:rsid w:val="00C30BD1"/>
    <w:rsid w:val="00C6106A"/>
    <w:rsid w:val="00C63C2E"/>
    <w:rsid w:val="00C70AAC"/>
    <w:rsid w:val="00C84F8C"/>
    <w:rsid w:val="00C91748"/>
    <w:rsid w:val="00CA4350"/>
    <w:rsid w:val="00CE64F2"/>
    <w:rsid w:val="00CF704C"/>
    <w:rsid w:val="00D3208B"/>
    <w:rsid w:val="00D435CE"/>
    <w:rsid w:val="00D60813"/>
    <w:rsid w:val="00D8395B"/>
    <w:rsid w:val="00D97EEF"/>
    <w:rsid w:val="00E22E95"/>
    <w:rsid w:val="00E24DD5"/>
    <w:rsid w:val="00E5104A"/>
    <w:rsid w:val="00E71211"/>
    <w:rsid w:val="00E7379A"/>
    <w:rsid w:val="00EA3A4E"/>
    <w:rsid w:val="00EA5967"/>
    <w:rsid w:val="00EB53C0"/>
    <w:rsid w:val="00EC182D"/>
    <w:rsid w:val="00EF4658"/>
    <w:rsid w:val="00F11276"/>
    <w:rsid w:val="00F2553C"/>
    <w:rsid w:val="00F25590"/>
    <w:rsid w:val="00F46F46"/>
    <w:rsid w:val="00F60633"/>
    <w:rsid w:val="00F75006"/>
    <w:rsid w:val="00F76B35"/>
    <w:rsid w:val="00FB028D"/>
    <w:rsid w:val="00FB69FF"/>
    <w:rsid w:val="00FE3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354E"/>
  <w15:chartTrackingRefBased/>
  <w15:docId w15:val="{C230D76B-DA9B-4EA1-B63E-1536D4C8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77B"/>
    <w:pPr>
      <w:spacing w:after="0" w:line="240" w:lineRule="auto"/>
    </w:pPr>
    <w:rPr>
      <w:rFonts w:ascii="Calibri" w:hAnsi="Calibri"/>
      <w:sz w:val="22"/>
    </w:rPr>
  </w:style>
  <w:style w:type="paragraph" w:styleId="Heading1">
    <w:name w:val="heading 1"/>
    <w:basedOn w:val="Normal"/>
    <w:next w:val="Normal"/>
    <w:link w:val="Heading1Char"/>
    <w:uiPriority w:val="9"/>
    <w:qFormat/>
    <w:rsid w:val="007D1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D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D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D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D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DD8"/>
    <w:rPr>
      <w:rFonts w:eastAsiaTheme="majorEastAsia" w:cstheme="majorBidi"/>
      <w:color w:val="272727" w:themeColor="text1" w:themeTint="D8"/>
    </w:rPr>
  </w:style>
  <w:style w:type="paragraph" w:styleId="Title">
    <w:name w:val="Title"/>
    <w:basedOn w:val="Normal"/>
    <w:next w:val="Normal"/>
    <w:link w:val="TitleChar"/>
    <w:uiPriority w:val="10"/>
    <w:qFormat/>
    <w:rsid w:val="007D1D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DD8"/>
    <w:pPr>
      <w:spacing w:before="160"/>
      <w:jc w:val="center"/>
    </w:pPr>
    <w:rPr>
      <w:i/>
      <w:iCs/>
      <w:color w:val="404040" w:themeColor="text1" w:themeTint="BF"/>
    </w:rPr>
  </w:style>
  <w:style w:type="character" w:customStyle="1" w:styleId="QuoteChar">
    <w:name w:val="Quote Char"/>
    <w:basedOn w:val="DefaultParagraphFont"/>
    <w:link w:val="Quote"/>
    <w:uiPriority w:val="29"/>
    <w:rsid w:val="007D1DD8"/>
    <w:rPr>
      <w:i/>
      <w:iCs/>
      <w:color w:val="404040" w:themeColor="text1" w:themeTint="BF"/>
    </w:rPr>
  </w:style>
  <w:style w:type="paragraph" w:styleId="ListParagraph">
    <w:name w:val="List Paragraph"/>
    <w:basedOn w:val="Normal"/>
    <w:uiPriority w:val="34"/>
    <w:qFormat/>
    <w:rsid w:val="007D1DD8"/>
    <w:pPr>
      <w:ind w:left="720"/>
      <w:contextualSpacing/>
    </w:pPr>
  </w:style>
  <w:style w:type="character" w:styleId="IntenseEmphasis">
    <w:name w:val="Intense Emphasis"/>
    <w:basedOn w:val="DefaultParagraphFont"/>
    <w:uiPriority w:val="21"/>
    <w:qFormat/>
    <w:rsid w:val="007D1DD8"/>
    <w:rPr>
      <w:i/>
      <w:iCs/>
      <w:color w:val="0F4761" w:themeColor="accent1" w:themeShade="BF"/>
    </w:rPr>
  </w:style>
  <w:style w:type="paragraph" w:styleId="IntenseQuote">
    <w:name w:val="Intense Quote"/>
    <w:basedOn w:val="Normal"/>
    <w:next w:val="Normal"/>
    <w:link w:val="IntenseQuoteChar"/>
    <w:uiPriority w:val="30"/>
    <w:qFormat/>
    <w:rsid w:val="007D1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DD8"/>
    <w:rPr>
      <w:i/>
      <w:iCs/>
      <w:color w:val="0F4761" w:themeColor="accent1" w:themeShade="BF"/>
    </w:rPr>
  </w:style>
  <w:style w:type="character" w:styleId="IntenseReference">
    <w:name w:val="Intense Reference"/>
    <w:basedOn w:val="DefaultParagraphFont"/>
    <w:uiPriority w:val="32"/>
    <w:qFormat/>
    <w:rsid w:val="007D1DD8"/>
    <w:rPr>
      <w:b/>
      <w:bCs/>
      <w:smallCaps/>
      <w:color w:val="0F4761" w:themeColor="accent1" w:themeShade="BF"/>
      <w:spacing w:val="5"/>
    </w:rPr>
  </w:style>
  <w:style w:type="paragraph" w:styleId="NormalWeb">
    <w:name w:val="Normal (Web)"/>
    <w:basedOn w:val="Normal"/>
    <w:uiPriority w:val="99"/>
    <w:semiHidden/>
    <w:unhideWhenUsed/>
    <w:rsid w:val="007D1DD8"/>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D1DD8"/>
    <w:rPr>
      <w:color w:val="0000FF"/>
      <w:u w:val="single"/>
    </w:rPr>
  </w:style>
  <w:style w:type="paragraph" w:styleId="Revision">
    <w:name w:val="Revision"/>
    <w:hidden/>
    <w:uiPriority w:val="99"/>
    <w:semiHidden/>
    <w:rsid w:val="00A8275F"/>
    <w:pPr>
      <w:spacing w:after="0" w:line="240" w:lineRule="auto"/>
    </w:pPr>
  </w:style>
  <w:style w:type="paragraph" w:customStyle="1" w:styleId="DocID">
    <w:name w:val="DocID"/>
    <w:basedOn w:val="Footer"/>
    <w:next w:val="Footer"/>
    <w:link w:val="DocIDChar"/>
    <w:rsid w:val="00FB028D"/>
    <w:pPr>
      <w:tabs>
        <w:tab w:val="clear" w:pos="4680"/>
        <w:tab w:val="clear" w:pos="9360"/>
      </w:tabs>
    </w:pPr>
    <w:rPr>
      <w:rFonts w:ascii="Times New Roman" w:eastAsia="Times New Roman" w:hAnsi="Times New Roman" w:cs="Times New Roman"/>
      <w:kern w:val="0"/>
      <w:sz w:val="18"/>
      <w:szCs w:val="20"/>
      <w14:ligatures w14:val="none"/>
    </w:rPr>
  </w:style>
  <w:style w:type="character" w:customStyle="1" w:styleId="DocIDChar">
    <w:name w:val="DocID Char"/>
    <w:basedOn w:val="DefaultParagraphFont"/>
    <w:link w:val="DocID"/>
    <w:rsid w:val="00FB028D"/>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FB028D"/>
    <w:pPr>
      <w:tabs>
        <w:tab w:val="center" w:pos="4680"/>
        <w:tab w:val="right" w:pos="9360"/>
      </w:tabs>
    </w:pPr>
  </w:style>
  <w:style w:type="character" w:customStyle="1" w:styleId="FooterChar">
    <w:name w:val="Footer Char"/>
    <w:basedOn w:val="DefaultParagraphFont"/>
    <w:link w:val="Footer"/>
    <w:uiPriority w:val="99"/>
    <w:rsid w:val="00FB028D"/>
  </w:style>
  <w:style w:type="paragraph" w:styleId="Header">
    <w:name w:val="header"/>
    <w:basedOn w:val="Normal"/>
    <w:link w:val="HeaderChar"/>
    <w:uiPriority w:val="99"/>
    <w:unhideWhenUsed/>
    <w:rsid w:val="00FB028D"/>
    <w:pPr>
      <w:tabs>
        <w:tab w:val="center" w:pos="4680"/>
        <w:tab w:val="right" w:pos="9360"/>
      </w:tabs>
    </w:pPr>
  </w:style>
  <w:style w:type="character" w:customStyle="1" w:styleId="HeaderChar">
    <w:name w:val="Header Char"/>
    <w:basedOn w:val="DefaultParagraphFont"/>
    <w:link w:val="Header"/>
    <w:uiPriority w:val="99"/>
    <w:rsid w:val="00FB028D"/>
  </w:style>
  <w:style w:type="paragraph" w:styleId="FootnoteText">
    <w:name w:val="footnote text"/>
    <w:basedOn w:val="Normal"/>
    <w:link w:val="FootnoteTextChar"/>
    <w:uiPriority w:val="99"/>
    <w:semiHidden/>
    <w:unhideWhenUsed/>
    <w:rsid w:val="00B6098E"/>
    <w:rPr>
      <w:sz w:val="20"/>
      <w:szCs w:val="20"/>
    </w:rPr>
  </w:style>
  <w:style w:type="character" w:customStyle="1" w:styleId="FootnoteTextChar">
    <w:name w:val="Footnote Text Char"/>
    <w:basedOn w:val="DefaultParagraphFont"/>
    <w:link w:val="FootnoteText"/>
    <w:uiPriority w:val="99"/>
    <w:semiHidden/>
    <w:rsid w:val="00B6098E"/>
    <w:rPr>
      <w:rFonts w:ascii="Calibri" w:hAnsi="Calibri"/>
      <w:sz w:val="20"/>
      <w:szCs w:val="20"/>
    </w:rPr>
  </w:style>
  <w:style w:type="character" w:styleId="FootnoteReference">
    <w:name w:val="footnote reference"/>
    <w:basedOn w:val="DefaultParagraphFont"/>
    <w:uiPriority w:val="99"/>
    <w:semiHidden/>
    <w:unhideWhenUsed/>
    <w:rsid w:val="00B6098E"/>
    <w:rPr>
      <w:vertAlign w:val="superscript"/>
    </w:rPr>
  </w:style>
  <w:style w:type="character" w:styleId="CommentReference">
    <w:name w:val="annotation reference"/>
    <w:basedOn w:val="DefaultParagraphFont"/>
    <w:uiPriority w:val="99"/>
    <w:semiHidden/>
    <w:unhideWhenUsed/>
    <w:rsid w:val="00B6353B"/>
    <w:rPr>
      <w:sz w:val="16"/>
      <w:szCs w:val="16"/>
    </w:rPr>
  </w:style>
  <w:style w:type="paragraph" w:styleId="CommentText">
    <w:name w:val="annotation text"/>
    <w:basedOn w:val="Normal"/>
    <w:link w:val="CommentTextChar"/>
    <w:uiPriority w:val="99"/>
    <w:unhideWhenUsed/>
    <w:rsid w:val="00B6353B"/>
    <w:rPr>
      <w:sz w:val="20"/>
      <w:szCs w:val="20"/>
    </w:rPr>
  </w:style>
  <w:style w:type="character" w:customStyle="1" w:styleId="CommentTextChar">
    <w:name w:val="Comment Text Char"/>
    <w:basedOn w:val="DefaultParagraphFont"/>
    <w:link w:val="CommentText"/>
    <w:uiPriority w:val="99"/>
    <w:rsid w:val="00B6353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6353B"/>
    <w:rPr>
      <w:b/>
      <w:bCs/>
    </w:rPr>
  </w:style>
  <w:style w:type="character" w:customStyle="1" w:styleId="CommentSubjectChar">
    <w:name w:val="Comment Subject Char"/>
    <w:basedOn w:val="CommentTextChar"/>
    <w:link w:val="CommentSubject"/>
    <w:uiPriority w:val="99"/>
    <w:semiHidden/>
    <w:rsid w:val="00B6353B"/>
    <w:rPr>
      <w:rFonts w:ascii="Calibri" w:hAnsi="Calibri"/>
      <w:b/>
      <w:bCs/>
      <w:sz w:val="20"/>
      <w:szCs w:val="20"/>
    </w:rPr>
  </w:style>
  <w:style w:type="character" w:styleId="UnresolvedMention">
    <w:name w:val="Unresolved Mention"/>
    <w:basedOn w:val="DefaultParagraphFont"/>
    <w:uiPriority w:val="99"/>
    <w:rsid w:val="00E71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martin@gbt.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072A96-C3FD-42B8-BFC3-24ACAD656FF1}">
  <we:reference id="0d6353ca-a200-41d1-903a-6af75a29609a" version="1.7.0.0" store="EXCatalog" storeType="excatalog"/>
  <we:alternateReferences>
    <we:reference id="WA200004774" version="1.7.0.0" store="en-US" storeType="omex"/>
  </we:alternateReferences>
  <we:properties>
    <we:property name="documentId" value="&quot;d3c0ab5e-88cf-43a6-959a-09b9207034c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Fenimore!232006.2</documentid>
  <senderid>SNGUYEN</senderid>
  <senderemail>SNGUYEN@FKHPARTNERS.COM</senderemail>
  <lastmodified>2026-09-24T11:08:00.0000000-05:00</lastmodified>
  <database>Fenimore</database>
</properties>
</file>

<file path=customXml/itemProps1.xml><?xml version="1.0" encoding="utf-8"?>
<ds:datastoreItem xmlns:ds="http://schemas.openxmlformats.org/officeDocument/2006/customXml" ds:itemID="{3A71A061-B25C-44E1-89BB-A01D8C94BCE3}">
  <ds:schemaRefs>
    <ds:schemaRef ds:uri="http://schemas.openxmlformats.org/officeDocument/2006/bibliography"/>
  </ds:schemaRefs>
</ds:datastoreItem>
</file>

<file path=customXml/itemProps2.xml><?xml version="1.0" encoding="utf-8"?>
<ds:datastoreItem xmlns:ds="http://schemas.openxmlformats.org/officeDocument/2006/customXml" ds:itemID="{10DAB8F0-3C13-4728-B494-9C29EB381420}">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 Sullivan</dc:creator>
  <cp:keywords/>
  <cp:lastModifiedBy>Paul A. Jameson</cp:lastModifiedBy>
  <cp:revision>3</cp:revision>
  <dcterms:created xsi:type="dcterms:W3CDTF">2026-09-30T19:27:00Z</dcterms:created>
  <dcterms:modified xsi:type="dcterms:W3CDTF">2026-10-01T15:15:00Z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232006.2</vt:lpwstr>
  </property>
  <property fmtid="{D5CDD505-2E9C-101B-9397-08002B2CF9AE}" pid="3" name="CUS_DocIDChunk0">
    <vt:lpwstr>232006.2</vt:lpwstr>
  </property>
  <property fmtid="{D5CDD505-2E9C-101B-9397-08002B2CF9AE}" pid="4" name="CUS_DocIDActiveBits">
    <vt:lpwstr>1046528</vt:lpwstr>
  </property>
  <property fmtid="{D5CDD505-2E9C-101B-9397-08002B2CF9AE}" pid="5" name="CUS_DocIDLocation">
    <vt:lpwstr>FIRST_PAGE_ONLY</vt:lpwstr>
  </property>
  <property fmtid="{D5CDD505-2E9C-101B-9397-08002B2CF9AE}" pid="6" name="CUS_DocIDReference">
    <vt:lpwstr>firstPageOnly</vt:lpwstr>
  </property>
</Properties>
</file>